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E44B3B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E44B3B">
              <w:rPr>
                <w:rFonts w:ascii="Trebuchet MS" w:eastAsia="仿宋" w:hAnsi="Trebuchet MS" w:cs="Trebuchet MS" w:hint="eastAsia"/>
                <w:sz w:val="28"/>
                <w:szCs w:val="28"/>
              </w:rPr>
              <w:t>土壤环境容量核算技术导则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E8E" w:rsidRDefault="00ED7E8E" w:rsidP="00D779D7">
      <w:r>
        <w:separator/>
      </w:r>
    </w:p>
  </w:endnote>
  <w:endnote w:type="continuationSeparator" w:id="0">
    <w:p w:rsidR="00ED7E8E" w:rsidRDefault="00ED7E8E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E8E" w:rsidRDefault="00ED7E8E" w:rsidP="00D779D7">
      <w:r>
        <w:separator/>
      </w:r>
    </w:p>
  </w:footnote>
  <w:footnote w:type="continuationSeparator" w:id="0">
    <w:p w:rsidR="00ED7E8E" w:rsidRDefault="00ED7E8E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2479FA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  <w:rsid w:val="00E44B3B"/>
    <w:rsid w:val="00E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2024-08-30T08:28:00Z</dcterms:modified>
</cp:coreProperties>
</file>