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99" w:rsidRPr="00067997" w:rsidRDefault="00464B99" w:rsidP="00464B99">
      <w:pPr>
        <w:jc w:val="left"/>
        <w:rPr>
          <w:rFonts w:eastAsia="楷体_GB2312" w:hint="eastAsia"/>
          <w:sz w:val="28"/>
          <w:szCs w:val="28"/>
        </w:rPr>
      </w:pPr>
      <w:r w:rsidRPr="00067997">
        <w:rPr>
          <w:rFonts w:eastAsia="楷体_GB2312" w:hint="eastAsia"/>
          <w:sz w:val="28"/>
          <w:szCs w:val="28"/>
        </w:rPr>
        <w:t>附件</w:t>
      </w:r>
      <w:r w:rsidRPr="00067997">
        <w:rPr>
          <w:rFonts w:eastAsia="楷体_GB2312" w:hint="eastAsia"/>
          <w:sz w:val="28"/>
          <w:szCs w:val="28"/>
        </w:rPr>
        <w:t>5</w:t>
      </w:r>
      <w:r w:rsidRPr="00067997">
        <w:rPr>
          <w:rFonts w:eastAsia="楷体_GB2312" w:hint="eastAsia"/>
          <w:sz w:val="28"/>
          <w:szCs w:val="28"/>
        </w:rPr>
        <w:t>：</w:t>
      </w:r>
    </w:p>
    <w:p w:rsidR="00464B99" w:rsidRPr="00067997" w:rsidRDefault="00464B99" w:rsidP="00464B99">
      <w:pPr>
        <w:jc w:val="center"/>
        <w:rPr>
          <w:rFonts w:ascii="楷体_GB2312" w:eastAsia="楷体_GB2312" w:hAnsi="黑体" w:hint="eastAsia"/>
          <w:b/>
          <w:color w:val="3D3D3D"/>
          <w:sz w:val="28"/>
          <w:szCs w:val="28"/>
        </w:rPr>
      </w:pPr>
      <w:r w:rsidRPr="00067997">
        <w:rPr>
          <w:rFonts w:ascii="楷体_GB2312" w:eastAsia="楷体_GB2312" w:hAnsi="黑体" w:hint="eastAsia"/>
          <w:b/>
          <w:color w:val="3D3D3D"/>
          <w:sz w:val="28"/>
          <w:szCs w:val="28"/>
        </w:rPr>
        <w:t>中国土壤学会第十四次会员代表大会暨学术研讨会</w:t>
      </w:r>
    </w:p>
    <w:p w:rsidR="00464B99" w:rsidRPr="00067997" w:rsidRDefault="00464B99" w:rsidP="00464B99">
      <w:pPr>
        <w:jc w:val="center"/>
        <w:rPr>
          <w:rFonts w:ascii="楷体_GB2312" w:eastAsia="楷体_GB2312" w:hAnsi="黑体" w:hint="eastAsia"/>
          <w:b/>
          <w:color w:val="3D3D3D"/>
          <w:sz w:val="28"/>
          <w:szCs w:val="28"/>
        </w:rPr>
      </w:pPr>
      <w:bookmarkStart w:id="0" w:name="OLE_LINK1"/>
      <w:bookmarkStart w:id="1" w:name="OLE_LINK2"/>
      <w:r w:rsidRPr="00067997">
        <w:rPr>
          <w:rFonts w:ascii="楷体_GB2312" w:eastAsia="楷体_GB2312" w:hAnsi="黑体" w:hint="eastAsia"/>
          <w:b/>
          <w:color w:val="3D3D3D"/>
          <w:sz w:val="28"/>
          <w:szCs w:val="28"/>
        </w:rPr>
        <w:t>参展、赞助方案</w:t>
      </w:r>
    </w:p>
    <w:p w:rsidR="00464B99" w:rsidRPr="00067997" w:rsidRDefault="00464B99" w:rsidP="00464B99">
      <w:pPr>
        <w:jc w:val="center"/>
        <w:rPr>
          <w:rFonts w:ascii="楷体_GB2312" w:eastAsia="楷体_GB2312" w:hint="eastAsia"/>
          <w:sz w:val="24"/>
        </w:rPr>
      </w:pPr>
      <w:r w:rsidRPr="00067997">
        <w:rPr>
          <w:rFonts w:ascii="楷体_GB2312" w:eastAsia="楷体_GB2312" w:hint="eastAsia"/>
          <w:sz w:val="24"/>
        </w:rPr>
        <w:t>2020年7月27-</w:t>
      </w:r>
      <w:r>
        <w:rPr>
          <w:rFonts w:ascii="楷体_GB2312" w:eastAsia="楷体_GB2312" w:hint="eastAsia"/>
          <w:sz w:val="24"/>
        </w:rPr>
        <w:t>30</w:t>
      </w:r>
      <w:r w:rsidRPr="00067997">
        <w:rPr>
          <w:rFonts w:ascii="楷体_GB2312" w:eastAsia="楷体_GB2312" w:hint="eastAsia"/>
          <w:sz w:val="24"/>
        </w:rPr>
        <w:t>日  黑龙江 哈尔滨</w:t>
      </w:r>
    </w:p>
    <w:p w:rsidR="00464B99" w:rsidRPr="00794DA4" w:rsidRDefault="00464B99" w:rsidP="00464B99">
      <w:pPr>
        <w:jc w:val="center"/>
        <w:rPr>
          <w:sz w:val="28"/>
        </w:rPr>
      </w:pP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根据中国土壤学会第十三届四次理事会扩大会议精神，中国土壤学会定</w:t>
      </w:r>
      <w:r w:rsidRPr="00067997">
        <w:rPr>
          <w:rFonts w:ascii="楷体_GB2312" w:eastAsia="楷体_GB2312" w:hint="eastAsia"/>
          <w:sz w:val="24"/>
          <w:szCs w:val="28"/>
        </w:rPr>
        <w:t>于2020年7月27-</w:t>
      </w:r>
      <w:r>
        <w:rPr>
          <w:rFonts w:ascii="楷体_GB2312" w:eastAsia="楷体_GB2312" w:hint="eastAsia"/>
          <w:sz w:val="24"/>
          <w:szCs w:val="28"/>
        </w:rPr>
        <w:t>30</w:t>
      </w:r>
      <w:r w:rsidRPr="00067997">
        <w:rPr>
          <w:rFonts w:ascii="楷体_GB2312" w:eastAsia="楷体_GB2312" w:hAnsi="宋体" w:hint="eastAsia"/>
          <w:sz w:val="24"/>
          <w:szCs w:val="28"/>
        </w:rPr>
        <w:t>日在黑龙江省哈尔滨市召开中国土壤学会第十四次会员代表大会暨学术研讨会。会议旨在团结和凝聚广大土壤科技工作者，践行新时代赋予土壤科学的新使命，围绕土壤相关学科和科技发展的热点问题，开展综合和专题学术交流，共商新时代土壤相关学科发展和科技创新，促进土壤科学事业的繁荣和发展，促进土壤科技人才成长和提高；团结动员广大土壤科技工作者创新争先，以新状态踏上土壤新征程，为国家生态文明建设贡献新的更大力量。</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由中国土壤学会举办的这次学术研讨会将汇集全国著名高等院校、科研院所、企事业单位的众多工作在第一线的权威专家、优秀中青年科技骨干和技术人员，还有特邀的国内著名院士、专家等。大会将就土壤学及相关学科的热点和焦点问题、科学技术最新进展与发展趋势展开深入的交流和讨论，大会规模预</w:t>
      </w:r>
      <w:r w:rsidRPr="00067997">
        <w:rPr>
          <w:rFonts w:ascii="楷体_GB2312" w:eastAsia="楷体_GB2312" w:hint="eastAsia"/>
          <w:sz w:val="24"/>
          <w:szCs w:val="28"/>
        </w:rPr>
        <w:t>计2000名</w:t>
      </w:r>
      <w:r w:rsidRPr="00067997">
        <w:rPr>
          <w:rFonts w:ascii="楷体_GB2312" w:eastAsia="楷体_GB2312" w:hAnsi="宋体" w:hint="eastAsia"/>
          <w:sz w:val="24"/>
          <w:szCs w:val="28"/>
        </w:rPr>
        <w:t>代表。为了推动土壤学领域新技术、新工艺、新材料、新设备的应用，使其技术创新驱动我们学科、行业的发展，为相关企、事业单位提供宣传自我、展示成果和寻找合作的机会，参展、赞助方案如下：</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一、参展、赞助费用</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int="eastAsia"/>
          <w:sz w:val="24"/>
          <w:szCs w:val="28"/>
        </w:rPr>
        <w:t>1、</w:t>
      </w:r>
      <w:r w:rsidRPr="00067997">
        <w:rPr>
          <w:rFonts w:ascii="楷体_GB2312" w:eastAsia="楷体_GB2312" w:hint="eastAsia"/>
          <w:b/>
          <w:sz w:val="24"/>
          <w:szCs w:val="28"/>
        </w:rPr>
        <w:t>A级</w:t>
      </w:r>
      <w:r w:rsidRPr="00067997">
        <w:rPr>
          <w:rFonts w:ascii="楷体_GB2312" w:eastAsia="楷体_GB2312" w:hint="eastAsia"/>
          <w:sz w:val="24"/>
          <w:szCs w:val="28"/>
        </w:rPr>
        <w:t>费用：人民币拾万（100,000）元；</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int="eastAsia"/>
          <w:sz w:val="24"/>
          <w:szCs w:val="28"/>
        </w:rPr>
        <w:t>2、</w:t>
      </w:r>
      <w:r w:rsidRPr="00067997">
        <w:rPr>
          <w:rFonts w:ascii="楷体_GB2312" w:eastAsia="楷体_GB2312" w:hint="eastAsia"/>
          <w:b/>
          <w:sz w:val="24"/>
          <w:szCs w:val="28"/>
        </w:rPr>
        <w:t>B级</w:t>
      </w:r>
      <w:r w:rsidRPr="00067997">
        <w:rPr>
          <w:rFonts w:ascii="楷体_GB2312" w:eastAsia="楷体_GB2312" w:hint="eastAsia"/>
          <w:sz w:val="24"/>
          <w:szCs w:val="28"/>
        </w:rPr>
        <w:t>费用：人民币伍万（50,000）元；</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int="eastAsia"/>
          <w:sz w:val="24"/>
          <w:szCs w:val="28"/>
        </w:rPr>
        <w:t>3、</w:t>
      </w:r>
      <w:r w:rsidRPr="00067997">
        <w:rPr>
          <w:rFonts w:ascii="楷体_GB2312" w:eastAsia="楷体_GB2312" w:hint="eastAsia"/>
          <w:b/>
          <w:sz w:val="24"/>
          <w:szCs w:val="28"/>
        </w:rPr>
        <w:t>C级</w:t>
      </w:r>
      <w:r w:rsidRPr="00067997">
        <w:rPr>
          <w:rFonts w:ascii="楷体_GB2312" w:eastAsia="楷体_GB2312" w:hint="eastAsia"/>
          <w:sz w:val="24"/>
          <w:szCs w:val="28"/>
        </w:rPr>
        <w:t>费用：人民币叁万（30,000）元；</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int="eastAsia"/>
          <w:sz w:val="24"/>
          <w:szCs w:val="28"/>
        </w:rPr>
        <w:t>4、其他方式宣传</w:t>
      </w:r>
      <w:r w:rsidRPr="00067997">
        <w:rPr>
          <w:rFonts w:ascii="楷体_GB2312" w:eastAsia="楷体_GB2312" w:hAnsi="宋体" w:hint="eastAsia"/>
          <w:sz w:val="24"/>
          <w:szCs w:val="28"/>
        </w:rPr>
        <w:t>，请联系会务组。</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二、参展、赞助形式</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 xml:space="preserve">1、A级参展、赞助单位（简称A级单位）： </w:t>
      </w:r>
    </w:p>
    <w:p w:rsidR="00464B99" w:rsidRPr="00067997" w:rsidRDefault="00464B99" w:rsidP="00464B99">
      <w:pPr>
        <w:spacing w:line="360" w:lineRule="auto"/>
        <w:ind w:firstLineChars="200" w:firstLine="480"/>
        <w:rPr>
          <w:rFonts w:ascii="楷体_GB2312" w:eastAsia="楷体_GB2312" w:hAnsi="宋体" w:hint="eastAsia"/>
          <w:sz w:val="24"/>
          <w:szCs w:val="28"/>
        </w:rPr>
      </w:pPr>
      <w:bookmarkStart w:id="2" w:name="OLE_LINK3"/>
      <w:bookmarkStart w:id="3" w:name="OLE_LINK4"/>
      <w:r w:rsidRPr="00067997">
        <w:rPr>
          <w:rFonts w:ascii="楷体_GB2312" w:eastAsia="楷体_GB2312" w:hAnsi="宋体" w:hint="eastAsia"/>
          <w:sz w:val="24"/>
          <w:szCs w:val="28"/>
        </w:rPr>
        <w:t xml:space="preserve">（1）会议手册及大会背景墙上注明A级单位为协办单位； </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（2）本次会议网站主页链接A级单位网站；</w:t>
      </w:r>
    </w:p>
    <w:bookmarkEnd w:id="2"/>
    <w:bookmarkEnd w:id="3"/>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lastRenderedPageBreak/>
        <w:t>（3）会议手册安排一页A级单位宣传彩页（由A级单位准备，但内容需经过本会常务理事会审核）；</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（4）安排2个展位，A级单位可优先选择展位位置。各展位尺寸根据场地而定，各配置一桌两椅，可各放2块标准展架，并可发放宣传资料；</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（5）可申请一个分组报告（要求是与本领域内容相关的研究报告）；</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（6）免5位参会人员会议注册费和餐费（住宿费自理）。</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 xml:space="preserve">2、B级参展、赞助单位（简称B级单位）： </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 xml:space="preserve">（1）会议手册上注明B级单位为赞助单位（提供Logo）； </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（2）本次会议网站主页链接B级单位网站；</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（3）资料袋中可放一页A4纸大小的B级单位宣传彩页（由B级单位准备，但内容需经过本会常务理事会审核）；</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（4）安排1个展位，B级单位可优先于C级单位选择展位位置。各展位尺寸根据场地而定，各配置一桌两椅，可各放2块标准展架，并可发放宣传资料；</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（5）免3位参会人员会议注册费和餐费（住宿费自理）。</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3、C级参展、赞助单位（简称C级单位）：</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（1）安排1个展位。展位尺寸根据场地而定，各配置一桌两椅，可各放2块标准展架，并可发放宣传资料；</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（2）免2位参会人员会议注册费和餐费（住宿费自理）。</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三、银行汇款信息(汇款时请注明“土壤会议赞助+单位名”)</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本次会议委托江苏友兴文化传媒有限公司协助</w:t>
      </w:r>
      <w:r>
        <w:rPr>
          <w:rFonts w:ascii="楷体_GB2312" w:eastAsia="楷体_GB2312" w:hAnsi="宋体" w:hint="eastAsia"/>
          <w:sz w:val="24"/>
          <w:szCs w:val="28"/>
        </w:rPr>
        <w:t>会议参展、赞助</w:t>
      </w:r>
      <w:r w:rsidRPr="00067997">
        <w:rPr>
          <w:rFonts w:ascii="楷体_GB2312" w:eastAsia="楷体_GB2312" w:hAnsi="宋体" w:hint="eastAsia"/>
          <w:sz w:val="24"/>
          <w:szCs w:val="28"/>
        </w:rPr>
        <w:t>工作，收取费用并开具发票。</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汇款银行信息如下：</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户  名：江苏友兴文化传媒有限公司</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开户行：中国银行南京江宁高新区支行</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Ansi="宋体" w:hint="eastAsia"/>
          <w:sz w:val="24"/>
          <w:szCs w:val="28"/>
        </w:rPr>
        <w:t>账  号：</w:t>
      </w:r>
      <w:r w:rsidRPr="00067997">
        <w:rPr>
          <w:rFonts w:ascii="楷体_GB2312" w:eastAsia="楷体_GB2312" w:hint="eastAsia"/>
          <w:sz w:val="24"/>
          <w:szCs w:val="28"/>
        </w:rPr>
        <w:t>481973983890</w:t>
      </w:r>
    </w:p>
    <w:p w:rsidR="00464B99" w:rsidRPr="00067997" w:rsidRDefault="00464B99" w:rsidP="00464B99">
      <w:pPr>
        <w:spacing w:line="360" w:lineRule="auto"/>
        <w:ind w:firstLineChars="200" w:firstLine="482"/>
        <w:rPr>
          <w:rFonts w:ascii="楷体_GB2312" w:eastAsia="楷体_GB2312" w:hAnsi="宋体" w:hint="eastAsia"/>
          <w:b/>
          <w:sz w:val="24"/>
          <w:szCs w:val="28"/>
        </w:rPr>
      </w:pPr>
      <w:r w:rsidRPr="00067997">
        <w:rPr>
          <w:rFonts w:ascii="楷体_GB2312" w:eastAsia="楷体_GB2312" w:hAnsi="宋体" w:hint="eastAsia"/>
          <w:b/>
          <w:sz w:val="24"/>
          <w:szCs w:val="28"/>
        </w:rPr>
        <w:t>四、联系方式</w:t>
      </w:r>
    </w:p>
    <w:p w:rsidR="00464B99" w:rsidRPr="00067997" w:rsidRDefault="00464B99" w:rsidP="00464B99">
      <w:pPr>
        <w:spacing w:line="360" w:lineRule="auto"/>
        <w:ind w:firstLineChars="200" w:firstLine="480"/>
        <w:rPr>
          <w:rFonts w:ascii="楷体_GB2312" w:eastAsia="楷体_GB2312" w:hAnsi="宋体" w:hint="eastAsia"/>
          <w:sz w:val="24"/>
          <w:szCs w:val="28"/>
        </w:rPr>
      </w:pPr>
      <w:r w:rsidRPr="00067997">
        <w:rPr>
          <w:rFonts w:ascii="楷体_GB2312" w:eastAsia="楷体_GB2312" w:hAnsi="宋体" w:hint="eastAsia"/>
          <w:sz w:val="24"/>
          <w:szCs w:val="28"/>
        </w:rPr>
        <w:t xml:space="preserve">联 系 人：严卫东  蒋宇霞  周凌波 </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Ansi="宋体" w:hint="eastAsia"/>
          <w:sz w:val="24"/>
          <w:szCs w:val="28"/>
        </w:rPr>
        <w:t>联系电话：</w:t>
      </w:r>
      <w:r w:rsidRPr="00067997">
        <w:rPr>
          <w:rFonts w:ascii="楷体_GB2312" w:eastAsia="楷体_GB2312" w:hint="eastAsia"/>
          <w:sz w:val="24"/>
          <w:szCs w:val="28"/>
        </w:rPr>
        <w:t>025-86881532，86881992</w:t>
      </w:r>
    </w:p>
    <w:p w:rsidR="00464B99" w:rsidRPr="00067997" w:rsidRDefault="00464B99" w:rsidP="00464B99">
      <w:pPr>
        <w:spacing w:line="360" w:lineRule="auto"/>
        <w:ind w:firstLineChars="200" w:firstLine="480"/>
        <w:rPr>
          <w:rFonts w:ascii="楷体_GB2312" w:eastAsia="楷体_GB2312" w:hint="eastAsia"/>
          <w:sz w:val="24"/>
          <w:szCs w:val="28"/>
        </w:rPr>
      </w:pPr>
      <w:r w:rsidRPr="00067997">
        <w:rPr>
          <w:rFonts w:ascii="楷体_GB2312" w:eastAsia="楷体_GB2312" w:hAnsi="宋体" w:hint="eastAsia"/>
          <w:sz w:val="24"/>
          <w:szCs w:val="28"/>
        </w:rPr>
        <w:t>电子邮箱：</w:t>
      </w:r>
      <w:r w:rsidRPr="00067997">
        <w:rPr>
          <w:rFonts w:ascii="楷体_GB2312" w:eastAsia="楷体_GB2312" w:hint="eastAsia"/>
          <w:sz w:val="24"/>
          <w:szCs w:val="28"/>
        </w:rPr>
        <w:t>14hydh@issas.ac.cn</w:t>
      </w:r>
    </w:p>
    <w:bookmarkEnd w:id="0"/>
    <w:bookmarkEnd w:id="1"/>
    <w:p w:rsidR="00464B99" w:rsidRPr="00B91ED2" w:rsidRDefault="00464B99" w:rsidP="00464B99">
      <w:pPr>
        <w:spacing w:line="360" w:lineRule="auto"/>
        <w:jc w:val="center"/>
        <w:rPr>
          <w:rFonts w:ascii="楷体_GB2312" w:eastAsia="楷体_GB2312" w:hAnsi="宋体" w:cs="Arial" w:hint="eastAsia"/>
          <w:color w:val="000000"/>
          <w:kern w:val="0"/>
          <w:sz w:val="28"/>
        </w:rPr>
      </w:pPr>
      <w:r w:rsidRPr="00067997">
        <w:rPr>
          <w:rFonts w:ascii="楷体_GB2312" w:eastAsia="楷体_GB2312" w:hAnsi="宋体" w:cs="Arial" w:hint="eastAsia"/>
          <w:color w:val="000000"/>
          <w:kern w:val="0"/>
          <w:sz w:val="22"/>
        </w:rPr>
        <w:br w:type="page"/>
      </w:r>
      <w:r w:rsidRPr="00B91ED2">
        <w:rPr>
          <w:rFonts w:ascii="楷体_GB2312" w:eastAsia="楷体_GB2312" w:hAnsi="宋体" w:cs="Arial" w:hint="eastAsia"/>
          <w:color w:val="000000"/>
          <w:kern w:val="0"/>
          <w:sz w:val="28"/>
        </w:rPr>
        <w:lastRenderedPageBreak/>
        <w:t>中国土壤学会第十四次会员代表大会暨学术研讨会</w:t>
      </w:r>
    </w:p>
    <w:p w:rsidR="00464B99" w:rsidRPr="00B91ED2" w:rsidRDefault="00464B99" w:rsidP="00464B99">
      <w:pPr>
        <w:widowControl/>
        <w:spacing w:line="360" w:lineRule="auto"/>
        <w:jc w:val="center"/>
        <w:rPr>
          <w:rFonts w:ascii="楷体_GB2312" w:eastAsia="楷体_GB2312" w:hAnsi="宋体" w:cs="Arial" w:hint="eastAsia"/>
          <w:color w:val="000000"/>
          <w:kern w:val="0"/>
          <w:sz w:val="28"/>
        </w:rPr>
      </w:pPr>
      <w:r w:rsidRPr="00B91ED2">
        <w:rPr>
          <w:rFonts w:ascii="楷体_GB2312" w:eastAsia="楷体_GB2312" w:hAnsi="宋体" w:cs="Arial" w:hint="eastAsia"/>
          <w:color w:val="000000"/>
          <w:kern w:val="0"/>
          <w:sz w:val="28"/>
        </w:rPr>
        <w:t>参展、赞助回执表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08"/>
        <w:gridCol w:w="3912"/>
      </w:tblGrid>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单位名称（中文）</w:t>
            </w:r>
          </w:p>
        </w:tc>
        <w:tc>
          <w:tcPr>
            <w:tcW w:w="3689" w:type="pct"/>
            <w:gridSpan w:val="2"/>
            <w:shd w:val="clear" w:color="auto" w:fill="auto"/>
          </w:tcPr>
          <w:p w:rsidR="00464B99" w:rsidRPr="00E369B4" w:rsidRDefault="00464B99" w:rsidP="009569DA">
            <w:pPr>
              <w:widowControl/>
              <w:spacing w:line="360" w:lineRule="auto"/>
              <w:jc w:val="right"/>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单位名称（英文）</w:t>
            </w:r>
          </w:p>
        </w:tc>
        <w:tc>
          <w:tcPr>
            <w:tcW w:w="3689" w:type="pct"/>
            <w:gridSpan w:val="2"/>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联系人姓名</w:t>
            </w:r>
          </w:p>
        </w:tc>
        <w:tc>
          <w:tcPr>
            <w:tcW w:w="3689" w:type="pct"/>
            <w:gridSpan w:val="2"/>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联系人电话</w:t>
            </w:r>
          </w:p>
        </w:tc>
        <w:tc>
          <w:tcPr>
            <w:tcW w:w="3689" w:type="pct"/>
            <w:gridSpan w:val="2"/>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联系人手机</w:t>
            </w:r>
          </w:p>
        </w:tc>
        <w:tc>
          <w:tcPr>
            <w:tcW w:w="3689" w:type="pct"/>
            <w:gridSpan w:val="2"/>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联系人职务</w:t>
            </w:r>
          </w:p>
        </w:tc>
        <w:tc>
          <w:tcPr>
            <w:tcW w:w="3689" w:type="pct"/>
            <w:gridSpan w:val="2"/>
            <w:shd w:val="clear" w:color="auto" w:fill="auto"/>
          </w:tcPr>
          <w:p w:rsidR="00464B99" w:rsidRPr="00E369B4" w:rsidRDefault="00464B99" w:rsidP="009569DA">
            <w:pPr>
              <w:widowControl/>
              <w:spacing w:line="360" w:lineRule="auto"/>
              <w:jc w:val="center"/>
              <w:rPr>
                <w:rFonts w:ascii="楷体_GB2312" w:eastAsia="楷体_GB2312" w:hAnsi="宋体" w:cs="Arial" w:hint="eastAsia"/>
                <w:color w:val="000000"/>
                <w:kern w:val="0"/>
                <w:sz w:val="24"/>
              </w:rPr>
            </w:pPr>
          </w:p>
        </w:tc>
      </w:tr>
      <w:tr w:rsidR="00464B99" w:rsidRPr="00E369B4" w:rsidTr="009569DA">
        <w:tc>
          <w:tcPr>
            <w:tcW w:w="1311" w:type="pct"/>
            <w:vMerge w:val="restart"/>
            <w:shd w:val="clear" w:color="auto" w:fill="auto"/>
            <w:vAlign w:val="center"/>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参展、赞助形式</w:t>
            </w: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□A级单位：人民币壹拾万（100,000）元</w:t>
            </w:r>
          </w:p>
        </w:tc>
      </w:tr>
      <w:tr w:rsidR="00464B99" w:rsidRPr="00E369B4" w:rsidTr="009569DA">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□B级单位：人民币伍万（50,000）元</w:t>
            </w:r>
          </w:p>
        </w:tc>
      </w:tr>
      <w:tr w:rsidR="00464B99" w:rsidRPr="00E369B4" w:rsidTr="009569DA">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□C级单位：人民币叁万（30,000）元</w:t>
            </w:r>
          </w:p>
        </w:tc>
      </w:tr>
      <w:tr w:rsidR="00464B99" w:rsidRPr="00E369B4" w:rsidTr="009569DA">
        <w:trPr>
          <w:trHeight w:val="1329"/>
        </w:trPr>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□其他，请注明：</w:t>
            </w:r>
          </w:p>
        </w:tc>
      </w:tr>
      <w:tr w:rsidR="00464B99" w:rsidRPr="00E369B4" w:rsidTr="009569DA">
        <w:tc>
          <w:tcPr>
            <w:tcW w:w="1311" w:type="pct"/>
            <w:vMerge w:val="restart"/>
            <w:shd w:val="clear" w:color="auto" w:fill="auto"/>
            <w:vAlign w:val="center"/>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开发票信息</w:t>
            </w:r>
          </w:p>
        </w:tc>
        <w:tc>
          <w:tcPr>
            <w:tcW w:w="1331"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发票抬头（全称）</w:t>
            </w:r>
          </w:p>
        </w:tc>
        <w:tc>
          <w:tcPr>
            <w:tcW w:w="2358"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p>
        </w:tc>
      </w:tr>
      <w:tr w:rsidR="00464B99" w:rsidRPr="00E369B4" w:rsidTr="009569DA">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1331"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发票内容</w:t>
            </w:r>
          </w:p>
        </w:tc>
        <w:tc>
          <w:tcPr>
            <w:tcW w:w="2358" w:type="pct"/>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会议费/会务费</w:t>
            </w:r>
          </w:p>
        </w:tc>
      </w:tr>
      <w:tr w:rsidR="00464B99" w:rsidRPr="00E369B4" w:rsidTr="009569DA">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1331"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纳税人识别号</w:t>
            </w:r>
          </w:p>
        </w:tc>
        <w:tc>
          <w:tcPr>
            <w:tcW w:w="2358"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p>
        </w:tc>
      </w:tr>
      <w:tr w:rsidR="00464B99" w:rsidRPr="00E369B4" w:rsidTr="009569DA">
        <w:tc>
          <w:tcPr>
            <w:tcW w:w="1311" w:type="pct"/>
            <w:vMerge/>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p>
        </w:tc>
        <w:tc>
          <w:tcPr>
            <w:tcW w:w="1331"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发票金额</w:t>
            </w:r>
          </w:p>
        </w:tc>
        <w:tc>
          <w:tcPr>
            <w:tcW w:w="2358" w:type="pct"/>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p>
        </w:tc>
      </w:tr>
      <w:tr w:rsidR="00464B99" w:rsidRPr="00E369B4" w:rsidTr="009569DA">
        <w:tc>
          <w:tcPr>
            <w:tcW w:w="1311" w:type="pct"/>
            <w:shd w:val="clear" w:color="auto" w:fill="auto"/>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票据形式</w:t>
            </w: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kern w:val="0"/>
                <w:sz w:val="24"/>
              </w:rPr>
              <w:t>普通增值税发票</w:t>
            </w:r>
          </w:p>
        </w:tc>
      </w:tr>
      <w:tr w:rsidR="00464B99" w:rsidRPr="00E369B4" w:rsidTr="009569DA">
        <w:trPr>
          <w:trHeight w:val="1948"/>
        </w:trPr>
        <w:tc>
          <w:tcPr>
            <w:tcW w:w="1311" w:type="pct"/>
            <w:shd w:val="clear" w:color="auto" w:fill="auto"/>
            <w:vAlign w:val="center"/>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参展、赞助单位</w:t>
            </w: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p>
          <w:p w:rsidR="00464B99" w:rsidRPr="00E369B4" w:rsidRDefault="00464B99" w:rsidP="009569DA">
            <w:pPr>
              <w:widowControl/>
              <w:spacing w:line="450" w:lineRule="atLeast"/>
              <w:rPr>
                <w:rFonts w:ascii="楷体_GB2312" w:eastAsia="楷体_GB2312" w:hAnsi="宋体" w:cs="Arial" w:hint="eastAsia"/>
                <w:color w:val="000000"/>
                <w:kern w:val="0"/>
                <w:sz w:val="24"/>
              </w:rPr>
            </w:pPr>
          </w:p>
          <w:p w:rsidR="00464B99" w:rsidRPr="00E369B4" w:rsidRDefault="00464B99" w:rsidP="009569DA">
            <w:pPr>
              <w:widowControl/>
              <w:spacing w:line="450" w:lineRule="atLeast"/>
              <w:rPr>
                <w:rFonts w:ascii="楷体_GB2312" w:eastAsia="楷体_GB2312" w:hAnsi="宋体" w:cs="Arial" w:hint="eastAsia"/>
                <w:color w:val="000000"/>
                <w:kern w:val="0"/>
                <w:sz w:val="24"/>
              </w:rPr>
            </w:pPr>
          </w:p>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单位负责人（签字）：                 单位（公章）</w:t>
            </w:r>
          </w:p>
          <w:p w:rsidR="00464B99" w:rsidRPr="00E369B4" w:rsidRDefault="00464B99" w:rsidP="009569DA">
            <w:pPr>
              <w:widowControl/>
              <w:spacing w:line="450" w:lineRule="atLeast"/>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 xml:space="preserve">     年   月   日</w:t>
            </w:r>
          </w:p>
        </w:tc>
      </w:tr>
      <w:tr w:rsidR="00464B99" w:rsidRPr="00E369B4" w:rsidTr="009569DA">
        <w:trPr>
          <w:trHeight w:val="1173"/>
        </w:trPr>
        <w:tc>
          <w:tcPr>
            <w:tcW w:w="1311" w:type="pct"/>
            <w:shd w:val="clear" w:color="auto" w:fill="auto"/>
            <w:vAlign w:val="center"/>
          </w:tcPr>
          <w:p w:rsidR="00464B99" w:rsidRPr="00E369B4" w:rsidRDefault="00464B99" w:rsidP="009569DA">
            <w:pPr>
              <w:widowControl/>
              <w:spacing w:line="450" w:lineRule="atLeast"/>
              <w:jc w:val="center"/>
              <w:rPr>
                <w:rFonts w:ascii="楷体_GB2312" w:eastAsia="楷体_GB2312" w:hAnsi="宋体" w:cs="Arial" w:hint="eastAsia"/>
                <w:color w:val="000000"/>
                <w:kern w:val="0"/>
                <w:sz w:val="24"/>
              </w:rPr>
            </w:pPr>
            <w:r w:rsidRPr="00E369B4">
              <w:rPr>
                <w:rFonts w:ascii="楷体_GB2312" w:eastAsia="楷体_GB2312" w:hAnsi="宋体" w:cs="Arial" w:hint="eastAsia"/>
                <w:color w:val="000000"/>
                <w:kern w:val="0"/>
                <w:sz w:val="24"/>
              </w:rPr>
              <w:t>备注</w:t>
            </w:r>
          </w:p>
        </w:tc>
        <w:tc>
          <w:tcPr>
            <w:tcW w:w="3689" w:type="pct"/>
            <w:gridSpan w:val="2"/>
            <w:shd w:val="clear" w:color="auto" w:fill="auto"/>
          </w:tcPr>
          <w:p w:rsidR="00464B99" w:rsidRPr="00E369B4" w:rsidRDefault="00464B99" w:rsidP="009569DA">
            <w:pPr>
              <w:widowControl/>
              <w:spacing w:line="450" w:lineRule="atLeast"/>
              <w:rPr>
                <w:rFonts w:ascii="楷体_GB2312" w:eastAsia="楷体_GB2312" w:hAnsi="宋体" w:cs="Arial" w:hint="eastAsia"/>
                <w:color w:val="000000"/>
                <w:kern w:val="0"/>
                <w:sz w:val="24"/>
              </w:rPr>
            </w:pPr>
          </w:p>
        </w:tc>
      </w:tr>
    </w:tbl>
    <w:p w:rsidR="00464B99" w:rsidRPr="00B91ED2" w:rsidRDefault="00464B99" w:rsidP="00464B99">
      <w:pPr>
        <w:widowControl/>
        <w:jc w:val="left"/>
        <w:rPr>
          <w:rFonts w:ascii="楷体_GB2312" w:eastAsia="楷体_GB2312" w:hint="eastAsia"/>
          <w:kern w:val="0"/>
          <w:sz w:val="22"/>
        </w:rPr>
      </w:pPr>
      <w:r w:rsidRPr="00B91ED2">
        <w:rPr>
          <w:rFonts w:ascii="楷体_GB2312" w:eastAsia="楷体_GB2312" w:hAnsi="宋体" w:cs="Arial" w:hint="eastAsia"/>
          <w:color w:val="000000"/>
          <w:kern w:val="0"/>
          <w:sz w:val="22"/>
        </w:rPr>
        <w:t>请</w:t>
      </w:r>
      <w:r w:rsidRPr="00B91ED2">
        <w:rPr>
          <w:rFonts w:ascii="楷体_GB2312" w:eastAsia="楷体_GB2312" w:hAnsi="宋体" w:cs="Arial" w:hint="eastAsia"/>
          <w:kern w:val="0"/>
          <w:sz w:val="22"/>
        </w:rPr>
        <w:t>于</w:t>
      </w:r>
      <w:r w:rsidRPr="00B91ED2">
        <w:rPr>
          <w:rFonts w:ascii="楷体_GB2312" w:eastAsia="楷体_GB2312" w:hint="eastAsia"/>
          <w:kern w:val="0"/>
          <w:sz w:val="22"/>
        </w:rPr>
        <w:t>6月20日前将此表电子版和签字盖章后扫描件或拍照图片发送到：14hydh@issas.ac.cn。</w:t>
      </w:r>
    </w:p>
    <w:p w:rsidR="00464B99" w:rsidRPr="00067997" w:rsidRDefault="00464B99" w:rsidP="00464B99">
      <w:pPr>
        <w:widowControl/>
        <w:jc w:val="left"/>
        <w:rPr>
          <w:rFonts w:eastAsia="楷体_GB2312" w:hint="eastAsia"/>
          <w:sz w:val="24"/>
          <w:u w:val="single"/>
        </w:rPr>
      </w:pPr>
      <w:r w:rsidRPr="00B91ED2">
        <w:rPr>
          <w:rFonts w:ascii="楷体_GB2312" w:eastAsia="楷体_GB2312" w:hint="eastAsia"/>
          <w:kern w:val="0"/>
          <w:sz w:val="22"/>
        </w:rPr>
        <w:t>请于7月1日前将</w:t>
      </w:r>
      <w:r w:rsidRPr="00B91ED2">
        <w:rPr>
          <w:rFonts w:ascii="楷体_GB2312" w:eastAsia="楷体_GB2312" w:hAnsi="宋体" w:cs="Arial" w:hint="eastAsia"/>
          <w:color w:val="000000"/>
          <w:kern w:val="0"/>
          <w:sz w:val="22"/>
        </w:rPr>
        <w:t>参展、赞助款项汇入上述账户。款项未到账，不提供相关服务。</w:t>
      </w:r>
    </w:p>
    <w:p w:rsidR="006A3E96" w:rsidRPr="00464B99" w:rsidRDefault="00464B99">
      <w:bookmarkStart w:id="4" w:name="_GoBack"/>
      <w:bookmarkEnd w:id="4"/>
    </w:p>
    <w:sectPr w:rsidR="006A3E96" w:rsidRPr="00464B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99"/>
    <w:rsid w:val="000F3697"/>
    <w:rsid w:val="00464B99"/>
    <w:rsid w:val="00EC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531E-8099-4448-A770-8E91793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2020-01-13T06:18:00Z</dcterms:created>
  <dcterms:modified xsi:type="dcterms:W3CDTF">2020-01-13T06:19:00Z</dcterms:modified>
</cp:coreProperties>
</file>